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2047C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  <w:u w:val="single"/>
        </w:rPr>
      </w:pPr>
      <w:r w:rsidRPr="00C11AED">
        <w:rPr>
          <w:rFonts w:ascii="Arial" w:hAnsi="Arial" w:cs="Arial"/>
          <w:kern w:val="0"/>
          <w:sz w:val="24"/>
          <w:szCs w:val="24"/>
          <w:u w:val="single"/>
        </w:rPr>
        <w:t xml:space="preserve">Legenda požadovaného ukončení vývodů instalací pro </w:t>
      </w:r>
      <w:proofErr w:type="spellStart"/>
      <w:r w:rsidRPr="00C11AED">
        <w:rPr>
          <w:rFonts w:ascii="Arial" w:hAnsi="Arial" w:cs="Arial"/>
          <w:kern w:val="0"/>
          <w:sz w:val="24"/>
          <w:szCs w:val="24"/>
          <w:u w:val="single"/>
        </w:rPr>
        <w:t>gastrotechnologii</w:t>
      </w:r>
      <w:proofErr w:type="spellEnd"/>
    </w:p>
    <w:p w14:paraId="0B62C392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(nejedná se o domovní instalační rozvody k jednotlivým zařízením).</w:t>
      </w:r>
    </w:p>
    <w:p w14:paraId="66F56631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</w:p>
    <w:p w14:paraId="6F5E61CE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  <w:u w:val="single"/>
        </w:rPr>
      </w:pPr>
      <w:r w:rsidRPr="00C11AED">
        <w:rPr>
          <w:rFonts w:ascii="Arial" w:hAnsi="Arial" w:cs="Arial"/>
          <w:kern w:val="0"/>
          <w:sz w:val="24"/>
          <w:szCs w:val="24"/>
          <w:u w:val="single"/>
        </w:rPr>
        <w:t>ELEKTROINSTALACE:</w:t>
      </w:r>
    </w:p>
    <w:p w14:paraId="12DB0D48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</w:p>
    <w:p w14:paraId="789936EE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E1.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El. vývod 1f+0 (kabel 3Cx2,5), 100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., př.: 1,0 kW, volný konec 4,0 m (konvektomat)</w:t>
      </w:r>
    </w:p>
    <w:p w14:paraId="28DD3602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(el. vývod vést přes vypínač umístěný na zdi, mimo konvektomat, v dosahu obsluhy)</w:t>
      </w:r>
    </w:p>
    <w:p w14:paraId="496DB3C8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E1a.</w:t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Vypínač ve výšce 1500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 pro el. vývod E1 (konvektomat)</w:t>
      </w:r>
    </w:p>
    <w:p w14:paraId="1096DD52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(navrhované umístění)</w:t>
      </w:r>
    </w:p>
    <w:p w14:paraId="06B54837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E2.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El. vývod 1f+0, 1200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., př.: 1,5 kW, ukončit zásuvkou (výdejní vana)</w:t>
      </w:r>
    </w:p>
    <w:p w14:paraId="73A02D02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(možno využít stávající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dvojzásuvku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)</w:t>
      </w:r>
    </w:p>
    <w:p w14:paraId="62EBAD6B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E3.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El. vývod 1f+0, 1200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., př.: 2,5 kW, ukončit zásuvkou (teplá skříň)</w:t>
      </w:r>
    </w:p>
    <w:p w14:paraId="0668E047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(možno využít stávající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dvojzásuvku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)</w:t>
      </w:r>
    </w:p>
    <w:p w14:paraId="0070C7AF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E4.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El. vývod 1f+0, 100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 xml:space="preserve">., př.: 1,0 kW, ukončit zásuvkou, horní hrana max. 130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 (chladící stůl)</w:t>
      </w:r>
    </w:p>
    <w:p w14:paraId="01A9276C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E5.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El. vývod 3f+0 (kabel CGTG 5Cx4), ze soklu, př.: 17,3 kW, volný konec 2,0 m (multifunkční pánev)</w:t>
      </w:r>
    </w:p>
    <w:p w14:paraId="5159F91B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(el. vývod vést přes vypínač umístěný na zdi, mimo pánev, v dosahu obsluhy)</w:t>
      </w:r>
    </w:p>
    <w:p w14:paraId="03B65FDB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(kvůli dimenzi původního kabelu musí použití původního kabelu povolit kompetentní osoba)</w:t>
      </w:r>
    </w:p>
    <w:p w14:paraId="06881407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E5a.</w:t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Vypínač ve výšce 1500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 pro el. vývod E5 (pánev)</w:t>
      </w:r>
    </w:p>
    <w:p w14:paraId="2D74FE40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(navrhované umístění)</w:t>
      </w:r>
    </w:p>
    <w:p w14:paraId="7C4AAF71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(viz poznámka k vývodu E5.)</w:t>
      </w:r>
    </w:p>
    <w:p w14:paraId="58398C38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E6.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El. vývod 3f+0 (kabel CGTG 5Cx2,5), 100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., př.: 7,3 kW, volný konec 2,0 m (myčka provozního nádobí)</w:t>
      </w:r>
    </w:p>
    <w:p w14:paraId="32C51816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(el. vývod vést přes vypínač umístěný na zdi, mimo myčku, v dosahu obsluhy)</w:t>
      </w:r>
    </w:p>
    <w:p w14:paraId="4E39D25E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E6a.</w:t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Vypínač ve výšce 1500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 pro el. vývod E6 (myčka)</w:t>
      </w:r>
    </w:p>
    <w:p w14:paraId="1B4839D7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(navrhované umístění)</w:t>
      </w:r>
    </w:p>
    <w:p w14:paraId="3CDFB0D7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E7.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El. vývod 3f+0 (kabel CGTG 5Cx2,5), 100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., př.: 10,3 kW, volný konec 2,0 m (myčka stolního nádobí)</w:t>
      </w:r>
    </w:p>
    <w:p w14:paraId="6C9009BC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(el. vývod vést přes vypínač umístěný na zdi, mimo myčku, v dosahu obsluhy)</w:t>
      </w:r>
    </w:p>
    <w:p w14:paraId="6CD26522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(možno využít stávající přívod)</w:t>
      </w:r>
    </w:p>
    <w:p w14:paraId="5E7EC2A9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E7a.</w:t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Vypínač ve výšce 1500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 pro el. vývod E7 (myčka)</w:t>
      </w:r>
    </w:p>
    <w:p w14:paraId="3FFEAA3B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(navrhované umístění)</w:t>
      </w:r>
    </w:p>
    <w:p w14:paraId="27D5754C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(možno využít stávající vypínač)</w:t>
      </w:r>
    </w:p>
    <w:p w14:paraId="4301B29C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E8.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El. vývod 1f+0, 1200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., př.: 0,7 kW, ukončit zásuvkou (výdejní vana)</w:t>
      </w:r>
    </w:p>
    <w:p w14:paraId="332DE7E2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574" w:hanging="574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(možno využít stávající zásuvku)</w:t>
      </w:r>
    </w:p>
    <w:p w14:paraId="0325A172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</w:p>
    <w:p w14:paraId="55AF4BCF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  <w:u w:val="single"/>
        </w:rPr>
      </w:pPr>
      <w:r w:rsidRPr="00C11AED">
        <w:rPr>
          <w:rFonts w:ascii="Arial" w:hAnsi="Arial" w:cs="Arial"/>
          <w:kern w:val="0"/>
          <w:sz w:val="24"/>
          <w:szCs w:val="24"/>
          <w:u w:val="single"/>
        </w:rPr>
        <w:t>VODOINSTALACE:</w:t>
      </w:r>
    </w:p>
    <w:p w14:paraId="40FC2349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</w:p>
    <w:p w14:paraId="23E28542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V1.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S.V. 1/2“, 500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 ukončit roháčkem 1/2“ s vnějším závitem 3/8“ (dřez)</w:t>
      </w:r>
    </w:p>
    <w:p w14:paraId="441EF15E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V2.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T.V. 1/2“, 500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 ukončit roháčkem 1/2“ s vnějším závitem 3/8“ (dřez)</w:t>
      </w:r>
    </w:p>
    <w:p w14:paraId="721E8C6C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lastRenderedPageBreak/>
        <w:t>V3.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T.V. 3/4“, 400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 ukončit kulovým kohoutem 3/4“ s vnějším závitem 3/4“ (myčka provozního nádobí)</w:t>
      </w:r>
    </w:p>
    <w:p w14:paraId="18FDECF2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V4.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T.V. 3/4“, 400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 ukončit kulovým kohoutem 3/4“ s vnějším závitem 3/4“ (myčka stolního nádobí)</w:t>
      </w:r>
    </w:p>
    <w:p w14:paraId="6077ADFE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(možno využít stávající přívod vody)</w:t>
      </w:r>
    </w:p>
    <w:p w14:paraId="6A5ADE4F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</w:p>
    <w:p w14:paraId="3B0F7243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  <w:u w:val="single"/>
        </w:rPr>
      </w:pPr>
      <w:r w:rsidRPr="00C11AED">
        <w:rPr>
          <w:rFonts w:ascii="Arial" w:hAnsi="Arial" w:cs="Arial"/>
          <w:kern w:val="0"/>
          <w:sz w:val="24"/>
          <w:szCs w:val="24"/>
          <w:u w:val="single"/>
        </w:rPr>
        <w:t>KANALIZACE:</w:t>
      </w:r>
    </w:p>
    <w:p w14:paraId="5A9F4DF4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</w:p>
    <w:p w14:paraId="2C7E6CC6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O1.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Odpad DN 50, 400 mm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n.č.p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. ukončit sifonem (dřez)</w:t>
      </w:r>
    </w:p>
    <w:p w14:paraId="091FA753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O2.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Odpad DN 50, v podlaze ukončit sifonem viz obr. č. 3 (myčka provozního nádobí)</w:t>
      </w:r>
    </w:p>
    <w:p w14:paraId="1E62C1E5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(odpadní voda může dosahovat až </w:t>
      </w:r>
      <w:proofErr w:type="gramStart"/>
      <w:r w:rsidRPr="00C11AED">
        <w:rPr>
          <w:rFonts w:ascii="Arial" w:hAnsi="Arial" w:cs="Arial"/>
          <w:kern w:val="0"/>
          <w:sz w:val="24"/>
          <w:szCs w:val="24"/>
        </w:rPr>
        <w:t>90°C</w:t>
      </w:r>
      <w:proofErr w:type="gramEnd"/>
      <w:r w:rsidRPr="00C11AED">
        <w:rPr>
          <w:rFonts w:ascii="Arial" w:hAnsi="Arial" w:cs="Arial"/>
          <w:kern w:val="0"/>
          <w:sz w:val="24"/>
          <w:szCs w:val="24"/>
        </w:rPr>
        <w:t>)</w:t>
      </w:r>
    </w:p>
    <w:p w14:paraId="4DB51E25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O3.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Odpad DN 50, v podlaze ukončit sifonem viz obr. č. 3 (myčka stolního nádobí, konvektomat)</w:t>
      </w:r>
    </w:p>
    <w:p w14:paraId="385254DF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(odpadní voda může dosahovat až </w:t>
      </w:r>
      <w:proofErr w:type="gramStart"/>
      <w:r w:rsidRPr="00C11AED">
        <w:rPr>
          <w:rFonts w:ascii="Arial" w:hAnsi="Arial" w:cs="Arial"/>
          <w:kern w:val="0"/>
          <w:sz w:val="24"/>
          <w:szCs w:val="24"/>
        </w:rPr>
        <w:t>90°C</w:t>
      </w:r>
      <w:proofErr w:type="gramEnd"/>
      <w:r w:rsidRPr="00C11AED">
        <w:rPr>
          <w:rFonts w:ascii="Arial" w:hAnsi="Arial" w:cs="Arial"/>
          <w:kern w:val="0"/>
          <w:sz w:val="24"/>
          <w:szCs w:val="24"/>
        </w:rPr>
        <w:t>)</w:t>
      </w:r>
    </w:p>
    <w:p w14:paraId="498ECA46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(možno napojit spotřebiče do stávající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guly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>)</w:t>
      </w:r>
    </w:p>
    <w:p w14:paraId="05F2C26A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</w:p>
    <w:p w14:paraId="4D190DF6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  <w:u w:val="single"/>
        </w:rPr>
      </w:pPr>
      <w:r w:rsidRPr="00C11AED">
        <w:rPr>
          <w:rFonts w:ascii="Arial" w:hAnsi="Arial" w:cs="Arial"/>
          <w:kern w:val="0"/>
          <w:sz w:val="24"/>
          <w:szCs w:val="24"/>
          <w:u w:val="single"/>
        </w:rPr>
        <w:t>PLYNOINSTALACE:</w:t>
      </w:r>
    </w:p>
    <w:p w14:paraId="55396BB6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</w:p>
    <w:p w14:paraId="16E5FAB0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P1.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Přívod plynu 3/4" přes kulový uzávěr plynu 3/4" viz obr. č. 4 (konvektomat) </w:t>
      </w:r>
    </w:p>
    <w:p w14:paraId="0FCEF60D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příkon: 18,0 kW</w:t>
      </w:r>
    </w:p>
    <w:p w14:paraId="11C20879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>P2.</w:t>
      </w: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Přívod plynu 3/4" přes kulový uzávěr plynu 3/4" viz obr. č. 4 (sporák) </w:t>
      </w:r>
    </w:p>
    <w:p w14:paraId="5BCBC2D4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příkon: 8,0 kW</w:t>
      </w:r>
    </w:p>
    <w:p w14:paraId="32FE13B0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ind w:left="229" w:hanging="229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</w:r>
      <w:r w:rsidRPr="00C11AED">
        <w:rPr>
          <w:rFonts w:ascii="Arial" w:hAnsi="Arial" w:cs="Arial"/>
          <w:kern w:val="0"/>
          <w:sz w:val="24"/>
          <w:szCs w:val="24"/>
        </w:rPr>
        <w:tab/>
        <w:t>(možno využít stávající přívod plynu)</w:t>
      </w:r>
    </w:p>
    <w:p w14:paraId="58460427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  <w:u w:val="single"/>
        </w:rPr>
      </w:pPr>
      <w:r w:rsidRPr="00C11AED">
        <w:rPr>
          <w:rFonts w:ascii="Arial" w:hAnsi="Arial" w:cs="Arial"/>
          <w:kern w:val="0"/>
          <w:sz w:val="24"/>
          <w:szCs w:val="24"/>
          <w:u w:val="single"/>
        </w:rPr>
        <w:t>Pozn.:</w:t>
      </w:r>
    </w:p>
    <w:p w14:paraId="111A355F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</w:p>
    <w:p w14:paraId="357E31E3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 xml:space="preserve">1) </w:t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Veškeré kóty se rozumí od čistě omítnutých stěn, podlah a </w:t>
      </w:r>
      <w:proofErr w:type="gramStart"/>
      <w:r w:rsidRPr="00C11AED">
        <w:rPr>
          <w:rFonts w:ascii="Arial" w:hAnsi="Arial" w:cs="Arial"/>
          <w:kern w:val="0"/>
          <w:sz w:val="24"/>
          <w:szCs w:val="24"/>
        </w:rPr>
        <w:t>obkladů !</w:t>
      </w:r>
      <w:proofErr w:type="gramEnd"/>
    </w:p>
    <w:p w14:paraId="454CAA08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 xml:space="preserve">2) </w:t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U el. zařízení, které je připojeno přímo na svorkovnici, je nutné vyvést zemnicí </w:t>
      </w:r>
      <w:proofErr w:type="gramStart"/>
      <w:r w:rsidRPr="00C11AED">
        <w:rPr>
          <w:rFonts w:ascii="Arial" w:hAnsi="Arial" w:cs="Arial"/>
          <w:kern w:val="0"/>
          <w:sz w:val="24"/>
          <w:szCs w:val="24"/>
        </w:rPr>
        <w:t>kabel !</w:t>
      </w:r>
      <w:proofErr w:type="gramEnd"/>
    </w:p>
    <w:p w14:paraId="2923C335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 xml:space="preserve">3) </w:t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Veškeré el. vývody z podlahy je nutné opatřit krycí hadicí délky </w:t>
      </w:r>
      <w:proofErr w:type="gramStart"/>
      <w:r w:rsidRPr="00C11AED">
        <w:rPr>
          <w:rFonts w:ascii="Arial" w:hAnsi="Arial" w:cs="Arial"/>
          <w:kern w:val="0"/>
          <w:sz w:val="24"/>
          <w:szCs w:val="24"/>
        </w:rPr>
        <w:t>1.0m !</w:t>
      </w:r>
      <w:proofErr w:type="gramEnd"/>
    </w:p>
    <w:p w14:paraId="5C049AF9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 xml:space="preserve">4) </w:t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Vodovodní baterie a sifony, pokud není v soupisu strojů a zařízení uvedeno jinak, </w:t>
      </w:r>
    </w:p>
    <w:p w14:paraId="37BA30AD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ab/>
        <w:t xml:space="preserve">nejsou součástí dodávky firmy GAMA </w:t>
      </w:r>
      <w:proofErr w:type="spellStart"/>
      <w:r w:rsidRPr="00C11AED">
        <w:rPr>
          <w:rFonts w:ascii="Arial" w:hAnsi="Arial" w:cs="Arial"/>
          <w:kern w:val="0"/>
          <w:sz w:val="24"/>
          <w:szCs w:val="24"/>
        </w:rPr>
        <w:t>Fobos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 xml:space="preserve"> </w:t>
      </w:r>
      <w:proofErr w:type="gramStart"/>
      <w:r w:rsidRPr="00C11AED">
        <w:rPr>
          <w:rFonts w:ascii="Arial" w:hAnsi="Arial" w:cs="Arial"/>
          <w:kern w:val="0"/>
          <w:sz w:val="24"/>
          <w:szCs w:val="24"/>
        </w:rPr>
        <w:t>s.r.o. !</w:t>
      </w:r>
      <w:proofErr w:type="gramEnd"/>
    </w:p>
    <w:p w14:paraId="7CEA3E1A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 xml:space="preserve">5) </w:t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U pracovních stolů je nutné vyvést zemnicí kabely - alespoň jeden ve stolové </w:t>
      </w:r>
      <w:proofErr w:type="gramStart"/>
      <w:r w:rsidRPr="00C11AED">
        <w:rPr>
          <w:rFonts w:ascii="Arial" w:hAnsi="Arial" w:cs="Arial"/>
          <w:kern w:val="0"/>
          <w:sz w:val="24"/>
          <w:szCs w:val="24"/>
        </w:rPr>
        <w:t>sestavě !</w:t>
      </w:r>
      <w:proofErr w:type="gramEnd"/>
    </w:p>
    <w:p w14:paraId="415D62CE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 xml:space="preserve">6) </w:t>
      </w:r>
      <w:r w:rsidRPr="00C11AED">
        <w:rPr>
          <w:rFonts w:ascii="Arial" w:hAnsi="Arial" w:cs="Arial"/>
          <w:kern w:val="0"/>
          <w:sz w:val="24"/>
          <w:szCs w:val="24"/>
        </w:rPr>
        <w:tab/>
        <w:t>Značka a typ kabelu uvedené u jednotlivých el. vývodů nejsou závazné, pouze doporučené.</w:t>
      </w:r>
    </w:p>
    <w:p w14:paraId="36A46050" w14:textId="77777777" w:rsidR="00C11AED" w:rsidRPr="00C11AED" w:rsidRDefault="00C11AED" w:rsidP="00C11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C11AED">
        <w:rPr>
          <w:rFonts w:ascii="Arial" w:hAnsi="Arial" w:cs="Arial"/>
          <w:kern w:val="0"/>
          <w:sz w:val="24"/>
          <w:szCs w:val="24"/>
        </w:rPr>
        <w:t xml:space="preserve">7) </w:t>
      </w:r>
      <w:r w:rsidRPr="00C11AED">
        <w:rPr>
          <w:rFonts w:ascii="Arial" w:hAnsi="Arial" w:cs="Arial"/>
          <w:kern w:val="0"/>
          <w:sz w:val="24"/>
          <w:szCs w:val="24"/>
        </w:rPr>
        <w:tab/>
        <w:t xml:space="preserve">Rozmezí pracovního tlaku ve vodovodním řadu pro správný chod spotřebičů je nutný: (2.5 - 3.0) </w:t>
      </w:r>
      <w:proofErr w:type="spellStart"/>
      <w:proofErr w:type="gramStart"/>
      <w:r w:rsidRPr="00C11AED">
        <w:rPr>
          <w:rFonts w:ascii="Arial" w:hAnsi="Arial" w:cs="Arial"/>
          <w:kern w:val="0"/>
          <w:sz w:val="24"/>
          <w:szCs w:val="24"/>
        </w:rPr>
        <w:t>atm</w:t>
      </w:r>
      <w:proofErr w:type="spellEnd"/>
      <w:r w:rsidRPr="00C11AED">
        <w:rPr>
          <w:rFonts w:ascii="Arial" w:hAnsi="Arial" w:cs="Arial"/>
          <w:kern w:val="0"/>
          <w:sz w:val="24"/>
          <w:szCs w:val="24"/>
        </w:rPr>
        <w:t xml:space="preserve"> !</w:t>
      </w:r>
      <w:proofErr w:type="gramEnd"/>
      <w:r w:rsidRPr="00C11AED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2ECF49D0" w14:textId="77777777" w:rsidR="00A16EE3" w:rsidRPr="00C11AED" w:rsidRDefault="00A16EE3"/>
    <w:sectPr w:rsidR="00A16EE3" w:rsidRPr="00C11AED" w:rsidSect="00A833F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ED"/>
    <w:rsid w:val="004B57B8"/>
    <w:rsid w:val="00927454"/>
    <w:rsid w:val="00A16EE3"/>
    <w:rsid w:val="00C11AED"/>
    <w:rsid w:val="00F3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C23DE"/>
  <w15:chartTrackingRefBased/>
  <w15:docId w15:val="{3E223F4B-59CF-4AE3-8C1D-CDC1C185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528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Švec</dc:creator>
  <cp:keywords/>
  <dc:description/>
  <cp:lastModifiedBy>Petr Švec</cp:lastModifiedBy>
  <cp:revision>1</cp:revision>
  <dcterms:created xsi:type="dcterms:W3CDTF">2023-11-14T19:23:00Z</dcterms:created>
  <dcterms:modified xsi:type="dcterms:W3CDTF">2023-11-14T19:38:00Z</dcterms:modified>
</cp:coreProperties>
</file>